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365"/>
        <w:gridCol w:w="1155"/>
        <w:gridCol w:w="1995"/>
        <w:gridCol w:w="315"/>
        <w:gridCol w:w="2100"/>
        <w:gridCol w:w="1155"/>
        <w:gridCol w:w="1995"/>
      </w:tblGrid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-1"/>
            </w:pPr>
            <w:r>
              <w:t>ДОГОВОР № 7507</w:t>
            </w:r>
          </w:p>
        </w:tc>
      </w:tr>
      <w:tr w:rsidR="001A0B37">
        <w:trPr>
          <w:trHeight w:hRule="exact" w:val="60"/>
        </w:trPr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1A0B37">
            <w:pPr>
              <w:pStyle w:val="1CStyle0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"/>
            </w:pPr>
            <w:r>
              <w:t>на техническое обслуживание контрольно-кассовой техники</w:t>
            </w:r>
          </w:p>
        </w:tc>
      </w:tr>
      <w:tr w:rsidR="001A0B37">
        <w:trPr>
          <w:trHeight w:hRule="exact" w:val="105"/>
        </w:trPr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1A0B37">
            <w:pPr>
              <w:pStyle w:val="1CStyle2"/>
              <w:jc w:val="left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3"/>
              <w:jc w:val="left"/>
            </w:pPr>
            <w:r>
              <w:t>г. Белгород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1A0B37">
            <w:pPr>
              <w:pStyle w:val="1CStyle4"/>
              <w:jc w:val="left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 w:rsidP="003E0F3A">
            <w:pPr>
              <w:pStyle w:val="1CStyle5"/>
            </w:pPr>
            <w:r>
              <w:t>Общество с Ограниченной Ответственностью Центр Технического Обслуживания  "</w:t>
            </w:r>
            <w:proofErr w:type="spellStart"/>
            <w:r>
              <w:t>Инфосервис</w:t>
            </w:r>
            <w:proofErr w:type="spellEnd"/>
            <w:r>
              <w:t xml:space="preserve">" в лице Генерального директора Кузнецова Владимира Ильича, действующего на основании устава, именуемое в дальнейшем «Исполнитель», с одной стороны, и </w:t>
            </w:r>
            <w:bookmarkStart w:id="0" w:name="_GoBack"/>
            <w:bookmarkEnd w:id="0"/>
            <w:r>
              <w:t>в лице __________________________________ __________________________________________, действующего на основании ___________________________, именуемый(</w:t>
            </w:r>
            <w:proofErr w:type="spellStart"/>
            <w:r>
              <w:t>ое</w:t>
            </w:r>
            <w:proofErr w:type="spellEnd"/>
            <w:r>
              <w:t>) в дальнейшем «Заказчик», с другой стороны, заключили настоящий договор о нижеследующем: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6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"/>
            </w:pPr>
            <w:r>
              <w:t>1. ПРЕДМЕТ ДОГОВОРА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>1.1. «Заказчик» поручает</w:t>
            </w:r>
            <w:proofErr w:type="gramStart"/>
            <w:r>
              <w:t xml:space="preserve"> ,</w:t>
            </w:r>
            <w:proofErr w:type="gramEnd"/>
            <w:r>
              <w:t xml:space="preserve"> а  «Исполнитель» принимает на себя обязательства по техническому обслуживанию (ТО) кон- </w:t>
            </w:r>
            <w:proofErr w:type="spellStart"/>
            <w:r>
              <w:t>трольно</w:t>
            </w:r>
            <w:proofErr w:type="spellEnd"/>
            <w:r>
              <w:t>-кассовой техники (ККТ), перечисленной в приложении №1.</w:t>
            </w:r>
          </w:p>
        </w:tc>
      </w:tr>
      <w:tr w:rsidR="001A0B37">
        <w:trPr>
          <w:trHeight w:hRule="exact" w:val="435"/>
        </w:trPr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8"/>
            </w:pPr>
            <w:r>
              <w:t>1.2</w:t>
            </w:r>
            <w:r w:rsidRPr="00815A25">
              <w:rPr>
                <w:highlight w:val="yellow"/>
              </w:rPr>
              <w:t>. На техническое обслуживание принимается ККТ, находящаяся в исправном состоя</w:t>
            </w:r>
            <w:r w:rsidR="00815A25">
              <w:rPr>
                <w:highlight w:val="yellow"/>
              </w:rPr>
              <w:t>нии, включенная в Государстве</w:t>
            </w:r>
            <w:r w:rsidRPr="00815A25">
              <w:rPr>
                <w:highlight w:val="yellow"/>
              </w:rPr>
              <w:t>н</w:t>
            </w:r>
            <w:r w:rsidR="00815A25">
              <w:rPr>
                <w:highlight w:val="yellow"/>
              </w:rPr>
              <w:t>н</w:t>
            </w:r>
            <w:r w:rsidRPr="00815A25">
              <w:rPr>
                <w:highlight w:val="yellow"/>
              </w:rPr>
              <w:t>ый реестр ККТ или допущенная к применению на территории РФ,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6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"/>
            </w:pPr>
            <w:r>
              <w:t>2. ПРАВА И ОБЯЗАННОСТИ ИСПОЛНИТЕЛЯ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9"/>
              <w:jc w:val="left"/>
            </w:pPr>
            <w:r>
              <w:t>2.1. «Исполнитель» проводит техническое обслуживание ККТ «Заказчика» в течени</w:t>
            </w:r>
            <w:proofErr w:type="gramStart"/>
            <w:r>
              <w:t>и</w:t>
            </w:r>
            <w:proofErr w:type="gramEnd"/>
            <w:r>
              <w:t xml:space="preserve"> всего срока действия договора.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>2.2 .В состав технического обслуживания входит: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1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технический осмотр ККТ;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чистка, протирка, смазка, пломбирование ККТ;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заполнение документации, расчет;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технические консультации по вопросам применения ККТ;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текущий ремонт и другие регламентные работы, предусмотренные инструкцией по эксплуатации данного типа ККТ.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>2.3. «Исполнитель» за отдельную плату и по согласованию с «Заказчиком» проводит: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 xml:space="preserve">средний ремонт ККТ (замена </w:t>
            </w:r>
            <w:proofErr w:type="gramStart"/>
            <w:r>
              <w:t>комплектующих</w:t>
            </w:r>
            <w:proofErr w:type="gramEnd"/>
            <w:r>
              <w:t>);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ввод в эксплуатацию онлайн ККТ</w:t>
            </w:r>
            <w:proofErr w:type="gramStart"/>
            <w:r>
              <w:t xml:space="preserve"> ,</w:t>
            </w:r>
            <w:proofErr w:type="gramEnd"/>
            <w:r>
              <w:t xml:space="preserve"> перерегистрацию ККТ;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программирование, перепрограммирование, техническое усовершенствование ККТ;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освидетельствование ККТ и подготовку пакета документов для ФНС;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монтажные и пуско-наладочные работы  по подключению ККТ в локальную сеть или к ПК;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установку и настройку программного обеспечения для работы ККТ в составе компьютерно-кассовой системы;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F92D05">
            <w:pPr>
              <w:pStyle w:val="1CStyle12"/>
            </w:pPr>
            <w:r>
              <w:t>-</w:t>
            </w: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r>
              <w:t>обучение кассиров-</w:t>
            </w:r>
            <w:proofErr w:type="spellStart"/>
            <w:r>
              <w:t>операционистов</w:t>
            </w:r>
            <w:proofErr w:type="spellEnd"/>
            <w:r>
              <w:t>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 xml:space="preserve">2.4. </w:t>
            </w:r>
            <w:proofErr w:type="gramStart"/>
            <w:r>
              <w:t>«Исполнитель» обеспечивает ремонт вышедшей из строя ККТ в срок не более 36 часов с момента получения вызова (поступления ККТ в ремонт) в условиях города Белгорода.</w:t>
            </w:r>
            <w:proofErr w:type="gramEnd"/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>2.5. «Исполнитель» знакомит «Заказчика» по его просьбе с документами по эксплуатации ККТ.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 xml:space="preserve">2.6. «Исполнитель» вправе снять с технического обслуживания ККТ при нарушении «Заказчиком» требований </w:t>
            </w:r>
            <w:proofErr w:type="spellStart"/>
            <w:r>
              <w:t>техниче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кой эксплуатации ККТ и невыполнении предписаний «Исполнителя».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 xml:space="preserve">2.7. «Исполнитель» имеет право снять с обслуживания ККТ, </w:t>
            </w:r>
            <w:proofErr w:type="gramStart"/>
            <w:r>
              <w:t>указанную</w:t>
            </w:r>
            <w:proofErr w:type="gramEnd"/>
            <w:r>
              <w:t xml:space="preserve"> в п. 1.1 и известить об этом в письменной форме ФНС, при просрочке платежей свыше трех календарных месяцев.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6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"/>
            </w:pPr>
            <w:r>
              <w:t>3. ПРАВА И ОБЯЗАННОСТИ ЗАКАЗЧИКА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 xml:space="preserve">3.1. «Заказчик» обеспечивает эксплуатацию ККТ в соответствии с требованиями </w:t>
            </w:r>
            <w:proofErr w:type="spellStart"/>
            <w:r>
              <w:t>эксплуатацинной</w:t>
            </w:r>
            <w:proofErr w:type="spellEnd"/>
            <w:r>
              <w:t xml:space="preserve"> документации.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>3.2. «Заказчик» допускает к работе на ККТ только обученных кассиров-</w:t>
            </w:r>
            <w:proofErr w:type="spellStart"/>
            <w:r>
              <w:t>операционистов</w:t>
            </w:r>
            <w:proofErr w:type="spellEnd"/>
            <w:r>
              <w:t>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 xml:space="preserve">3.3. «Заказчик» в зависимости от условий работы должен иметь </w:t>
            </w:r>
            <w:proofErr w:type="gramStart"/>
            <w:r>
              <w:t>резервную</w:t>
            </w:r>
            <w:proofErr w:type="gramEnd"/>
            <w:r>
              <w:t xml:space="preserve"> ККТ.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 xml:space="preserve">3.4. «Заказчик» обязан незамедлительно поставить в известность Исполнителя о любых </w:t>
            </w:r>
            <w:proofErr w:type="spellStart"/>
            <w:r>
              <w:t>неисравностях</w:t>
            </w:r>
            <w:proofErr w:type="spellEnd"/>
            <w:r>
              <w:t xml:space="preserve"> ККТ, включая повреждение пломб, средств визуального контроля и реквизитов на чеке.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>3.5. «Заказчик» обязан прекратить использование ККТ при возникновении ситуаций, перечисленных в п.3.4.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 xml:space="preserve">3.6. «Заказчик» обязан при смене владельца ККТ, смене адреса установки, снятия с регистрации в ФНС, а также при </w:t>
            </w:r>
            <w:proofErr w:type="spellStart"/>
            <w:r>
              <w:t>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сячном</w:t>
            </w:r>
            <w:proofErr w:type="spellEnd"/>
            <w:r>
              <w:t xml:space="preserve"> и более перерыве в работе за 10 дней письменно поставить в известность «Исполнителя».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>3.7. «Заказчик» вправе расторгнуть настоящий договор досрочно при несвоевременном проведении и плохом качестве работ, уведомив об этом «Исполнителя» за месяц до момента расторжения договора.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6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"/>
            </w:pPr>
            <w:r>
              <w:t>4. ПОРЯДОК РАСЧЕТОВ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 xml:space="preserve">4.1. Стоимость работ (услуг) по настоящему договору определяется ежемесячной суммарной стоимостью ТО всех ККМ «Заказчика», включенных в настоящий договор. Стоимость договора рассчитана в приложении №1, являющегося </w:t>
            </w:r>
            <w:proofErr w:type="spellStart"/>
            <w:r>
              <w:t>неотъе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лемой</w:t>
            </w:r>
            <w:proofErr w:type="spellEnd"/>
            <w:r>
              <w:t xml:space="preserve"> частью  договора.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 xml:space="preserve">4.2. В стоимость договора включена стоимость работ и материалов, связанных с проведением </w:t>
            </w:r>
            <w:proofErr w:type="spellStart"/>
            <w:r>
              <w:t>плановогоТО</w:t>
            </w:r>
            <w:proofErr w:type="spellEnd"/>
            <w:r>
              <w:t>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>4.3. Форма оплаты любая (наличная и безналичная) по договоренности согласно расчетным документам.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 xml:space="preserve">4.4. Оплата производится ежеквартально не позднее 15-го числа второго месяца квартала или ежемесячно не </w:t>
            </w:r>
            <w:proofErr w:type="spellStart"/>
            <w:r>
              <w:t>поз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нее15-го числа текущего месяца.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 xml:space="preserve">4.5. Расчет за ремонт </w:t>
            </w:r>
            <w:proofErr w:type="spellStart"/>
            <w:r>
              <w:t>негарантийной</w:t>
            </w:r>
            <w:proofErr w:type="spellEnd"/>
            <w:r>
              <w:t xml:space="preserve"> ККТ и  восстановление работоспособности ККТ, эксплуатируемой с нарушением </w:t>
            </w:r>
            <w:proofErr w:type="spellStart"/>
            <w:r>
              <w:t>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вил эксплуатации или пломбы «Исполнителя», осуществляется за отдельную цену.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>4.6. При отсутствии заявки на ТО  в соответствии с п.5.1  «Заказчик» не освобождается от оплаты по п.4.4 настоящего договора.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>4.7. «Исполнитель» оставляет за собой право изменить стоимость работ в зависимости от индексации цен.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 xml:space="preserve">4.8. Расходные материалы (чековая лента, картридж, красящая лента, аккумулятор) приобретаются «Заказчиком» </w:t>
            </w:r>
            <w:proofErr w:type="spellStart"/>
            <w:r>
              <w:t>само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тоятельно</w:t>
            </w:r>
            <w:proofErr w:type="spellEnd"/>
            <w:r>
              <w:t xml:space="preserve"> и за отдельную плату.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6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"/>
            </w:pPr>
            <w:r>
              <w:t>5. ОСОБЫЕ УСЛОВИЯ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>5.1. Техническое обслуживание осуществляется по предварительным заявкам «Заказчика». В случае отсутствия заявки ТО проводится в удобное для «Исполнителя» время.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1A0B37">
            <w:pPr>
              <w:pStyle w:val="1CStyle7"/>
            </w:pP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6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"/>
            </w:pPr>
            <w:r>
              <w:t>6. ОТВЕТСТВЕННОСТЬ СТОРОН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>6.1. При невыполнении обязательств по настоящему договору стороны несут ответственность в соответствии с действу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proofErr w:type="spellStart"/>
            <w:r>
              <w:t>щим</w:t>
            </w:r>
            <w:proofErr w:type="spellEnd"/>
            <w:r>
              <w:t xml:space="preserve"> законодательством.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7"/>
            </w:pPr>
            <w:r>
              <w:t>6.2. «Исполнитель» не несет ответственности за невыполнение «Заказчиком» «Положения по применению ККМ при осуществлении денежных расчетов с населением» и правил эксплуатации ККМ.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6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"/>
            </w:pPr>
            <w:r>
              <w:t>7. СРОК ДЕЙСТВИЯ ДОГОВОРА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>7.1. Данный договор вступает в силу с момента его подписания.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0"/>
              <w:jc w:val="left"/>
            </w:pPr>
            <w:r>
              <w:t>7.2. Срок действия договора не ограничен, если ни одна из сторон не заявит о его расторжении.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6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"/>
            </w:pPr>
            <w:r>
              <w:t>8. РЕКВИЗИТЫ И ЮРИДИЧЕСКИЕ АДРЕСА СТОРОН</w:t>
            </w: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3"/>
              <w:jc w:val="left"/>
            </w:pPr>
            <w:r>
              <w:t>Исполнитель: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10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pPr>
              <w:pStyle w:val="1CStyle14"/>
              <w:jc w:val="left"/>
            </w:pPr>
            <w:r>
              <w:t>Общество с Ограниченной Ответственностью Центр Технического Обслуживания  "</w:t>
            </w:r>
            <w:proofErr w:type="spellStart"/>
            <w:r>
              <w:t>Инфосервис</w:t>
            </w:r>
            <w:proofErr w:type="spellEnd"/>
            <w:r>
              <w:t xml:space="preserve">", ИНН 3123105111, КПП 312301001, 308000, Белгород г, Преображенская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дом №74а, тел.: (4722) 27-47-20, 27-89-88</w:t>
            </w:r>
          </w:p>
        </w:tc>
      </w:tr>
      <w:tr w:rsidR="001A0B37">
        <w:trPr>
          <w:trHeight w:hRule="exact" w:val="75"/>
        </w:trPr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15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pStyle w:val="1CStyle16"/>
              <w:jc w:val="left"/>
            </w:pP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9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pPr>
              <w:pStyle w:val="1CStyle17"/>
              <w:jc w:val="left"/>
            </w:pPr>
            <w:proofErr w:type="gramStart"/>
            <w:r>
              <w:t>р</w:t>
            </w:r>
            <w:proofErr w:type="gramEnd"/>
            <w:r>
              <w:t>/с 40702810812000103101, в банке Ярославский филиал ПАО "Промсвязьбанк" г. Ярославль, БИК 047888760, к/с 30101810300000000760</w:t>
            </w:r>
          </w:p>
        </w:tc>
      </w:tr>
      <w:tr w:rsidR="001A0B37">
        <w:trPr>
          <w:trHeight w:hRule="exact" w:val="95"/>
        </w:trPr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18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/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19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pPr>
              <w:pStyle w:val="1CStyle20"/>
              <w:jc w:val="left"/>
            </w:pPr>
            <w:r>
              <w:t>телефоны специалистов по обслуживанию ККТ по области: Вейделевка (47237)5-43-37; Новый Оскол (47233)4-84-44; 8-915-560-53-73, 8-915-560-55-35, Прохоровка (47242)2-28-00,8-906-606-32-97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21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</w:tr>
      <w:tr w:rsidR="001A0B37"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F92D05">
            <w:pPr>
              <w:pStyle w:val="1CStyle13"/>
              <w:jc w:val="left"/>
            </w:pPr>
            <w:r>
              <w:t>Заказчик</w:t>
            </w: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19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pPr>
              <w:pStyle w:val="1CStyle22"/>
              <w:jc w:val="left"/>
            </w:pPr>
            <w:r>
              <w:t>ООО "Стандарт-</w:t>
            </w:r>
            <w:proofErr w:type="spellStart"/>
            <w:r>
              <w:t>Энерго</w:t>
            </w:r>
            <w:proofErr w:type="spellEnd"/>
            <w:r>
              <w:t xml:space="preserve">", ИНН 3123324561, 308015, Белгород, ул. </w:t>
            </w:r>
            <w:proofErr w:type="gramStart"/>
            <w:r>
              <w:t>Сумская</w:t>
            </w:r>
            <w:proofErr w:type="gramEnd"/>
            <w:r>
              <w:t>, 42, тел.: 22-34-50</w:t>
            </w:r>
          </w:p>
        </w:tc>
      </w:tr>
      <w:tr w:rsidR="001A0B37">
        <w:trPr>
          <w:trHeight w:hRule="exact" w:val="60"/>
        </w:trPr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23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pStyle w:val="1CStyle24"/>
              <w:jc w:val="left"/>
            </w:pP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9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F92D05">
            <w:pPr>
              <w:pStyle w:val="1CStyle17"/>
              <w:jc w:val="left"/>
            </w:pPr>
            <w:proofErr w:type="gramStart"/>
            <w:r>
              <w:t>р</w:t>
            </w:r>
            <w:proofErr w:type="gramEnd"/>
            <w:r>
              <w:t>/с 40702810900160006115, в банке Филиал ОАО БАНК ВТБ в г. Белгороде, БИК 041403757, к/с 30101810400000000757</w:t>
            </w:r>
          </w:p>
        </w:tc>
      </w:tr>
      <w:tr w:rsidR="001A0B37">
        <w:trPr>
          <w:trHeight w:hRule="exact" w:val="75"/>
        </w:trPr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25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pStyle w:val="1CStyle26"/>
              <w:jc w:val="left"/>
            </w:pPr>
          </w:p>
        </w:tc>
      </w:tr>
      <w:tr w:rsidR="001A0B37">
        <w:tc>
          <w:tcPr>
            <w:tcW w:w="525" w:type="dxa"/>
            <w:shd w:val="clear" w:color="FFFFFF" w:fill="auto"/>
            <w:vAlign w:val="center"/>
          </w:tcPr>
          <w:p w:rsidR="001A0B37" w:rsidRDefault="001A0B37">
            <w:pPr>
              <w:pStyle w:val="1CStyle27"/>
              <w:jc w:val="left"/>
            </w:pPr>
          </w:p>
        </w:tc>
        <w:tc>
          <w:tcPr>
            <w:tcW w:w="10080" w:type="dxa"/>
            <w:gridSpan w:val="7"/>
            <w:shd w:val="clear" w:color="FFFFFF" w:fill="auto"/>
            <w:vAlign w:val="bottom"/>
          </w:tcPr>
          <w:p w:rsidR="001A0B37" w:rsidRDefault="001A0B37">
            <w:pPr>
              <w:pStyle w:val="1CStyle28"/>
              <w:jc w:val="left"/>
            </w:pPr>
          </w:p>
        </w:tc>
      </w:tr>
      <w:tr w:rsidR="001A0B37">
        <w:tc>
          <w:tcPr>
            <w:tcW w:w="5040" w:type="dxa"/>
            <w:gridSpan w:val="4"/>
            <w:shd w:val="clear" w:color="FFFFFF" w:fill="auto"/>
            <w:vAlign w:val="center"/>
          </w:tcPr>
          <w:p w:rsidR="001A0B37" w:rsidRDefault="00F92D05">
            <w:pPr>
              <w:pStyle w:val="1CStyle29"/>
            </w:pPr>
            <w:r>
              <w:t>ЗАКАЗЧИК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  <w:tc>
          <w:tcPr>
            <w:tcW w:w="5250" w:type="dxa"/>
            <w:gridSpan w:val="3"/>
            <w:shd w:val="clear" w:color="FFFFFF" w:fill="auto"/>
            <w:vAlign w:val="bottom"/>
          </w:tcPr>
          <w:p w:rsidR="001A0B37" w:rsidRDefault="00F92D05">
            <w:pPr>
              <w:pStyle w:val="1CStyle30"/>
            </w:pPr>
            <w:r>
              <w:t>ИСПОЛНИТЕЛЬ</w:t>
            </w:r>
          </w:p>
        </w:tc>
      </w:tr>
      <w:tr w:rsidR="001A0B37">
        <w:trPr>
          <w:trHeight w:hRule="exact" w:val="150"/>
        </w:trPr>
        <w:tc>
          <w:tcPr>
            <w:tcW w:w="10605" w:type="dxa"/>
            <w:gridSpan w:val="8"/>
            <w:shd w:val="clear" w:color="FFFFFF" w:fill="auto"/>
            <w:vAlign w:val="center"/>
          </w:tcPr>
          <w:p w:rsidR="001A0B37" w:rsidRDefault="001A0B37">
            <w:pPr>
              <w:pStyle w:val="1CStyle31"/>
              <w:jc w:val="left"/>
            </w:pPr>
          </w:p>
        </w:tc>
      </w:tr>
      <w:tr w:rsidR="001A0B37">
        <w:tc>
          <w:tcPr>
            <w:tcW w:w="1890" w:type="dxa"/>
            <w:gridSpan w:val="2"/>
            <w:vMerge w:val="restart"/>
            <w:shd w:val="clear" w:color="FFFFFF" w:fill="auto"/>
            <w:vAlign w:val="bottom"/>
          </w:tcPr>
          <w:p w:rsidR="001A0B37" w:rsidRDefault="001A0B37">
            <w:pPr>
              <w:pStyle w:val="1CStyle32"/>
              <w:jc w:val="left"/>
            </w:pPr>
          </w:p>
        </w:tc>
        <w:tc>
          <w:tcPr>
            <w:tcW w:w="1155" w:type="dxa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0B37" w:rsidRDefault="001A0B37"/>
        </w:tc>
        <w:tc>
          <w:tcPr>
            <w:tcW w:w="1995" w:type="dxa"/>
            <w:vMerge w:val="restart"/>
            <w:shd w:val="clear" w:color="FFFFFF" w:fill="auto"/>
            <w:vAlign w:val="bottom"/>
          </w:tcPr>
          <w:p w:rsidR="001A0B37" w:rsidRDefault="001A0B37">
            <w:pPr>
              <w:pStyle w:val="1CStyle3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A0B37" w:rsidRDefault="001A0B37">
            <w:pPr>
              <w:jc w:val="center"/>
            </w:pPr>
          </w:p>
        </w:tc>
        <w:tc>
          <w:tcPr>
            <w:tcW w:w="2100" w:type="dxa"/>
            <w:vMerge w:val="restart"/>
            <w:shd w:val="clear" w:color="FFFFFF" w:fill="auto"/>
            <w:vAlign w:val="bottom"/>
          </w:tcPr>
          <w:p w:rsidR="001A0B37" w:rsidRDefault="00F92D05">
            <w:pPr>
              <w:pStyle w:val="1CStyle34"/>
              <w:jc w:val="left"/>
            </w:pPr>
            <w:r>
              <w:t>Генеральный директор</w:t>
            </w:r>
          </w:p>
        </w:tc>
        <w:tc>
          <w:tcPr>
            <w:tcW w:w="1155" w:type="dxa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0B37" w:rsidRDefault="001A0B37"/>
        </w:tc>
        <w:tc>
          <w:tcPr>
            <w:tcW w:w="1995" w:type="dxa"/>
            <w:vMerge w:val="restart"/>
            <w:shd w:val="clear" w:color="FFFFFF" w:fill="auto"/>
            <w:vAlign w:val="bottom"/>
          </w:tcPr>
          <w:p w:rsidR="001A0B37" w:rsidRDefault="00F92D05">
            <w:pPr>
              <w:pStyle w:val="1CStyle35"/>
              <w:jc w:val="left"/>
            </w:pPr>
            <w:r>
              <w:t>Кузнецов В.И.</w:t>
            </w:r>
          </w:p>
        </w:tc>
      </w:tr>
      <w:tr w:rsidR="001A0B37">
        <w:tc>
          <w:tcPr>
            <w:tcW w:w="1890" w:type="dxa"/>
            <w:gridSpan w:val="2"/>
            <w:vMerge/>
            <w:shd w:val="clear" w:color="FFFFFF" w:fill="auto"/>
            <w:vAlign w:val="bottom"/>
          </w:tcPr>
          <w:p w:rsidR="001A0B37" w:rsidRDefault="001A0B37">
            <w:pPr>
              <w:pStyle w:val="1CStyle32"/>
              <w:jc w:val="left"/>
            </w:pPr>
          </w:p>
        </w:tc>
        <w:tc>
          <w:tcPr>
            <w:tcW w:w="1155" w:type="dxa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0B37" w:rsidRDefault="001A0B37"/>
        </w:tc>
        <w:tc>
          <w:tcPr>
            <w:tcW w:w="1995" w:type="dxa"/>
            <w:vMerge/>
            <w:shd w:val="clear" w:color="FFFFFF" w:fill="auto"/>
            <w:vAlign w:val="bottom"/>
          </w:tcPr>
          <w:p w:rsidR="001A0B37" w:rsidRDefault="001A0B37">
            <w:pPr>
              <w:pStyle w:val="1CStyle33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A0B37" w:rsidRDefault="001A0B37"/>
        </w:tc>
        <w:tc>
          <w:tcPr>
            <w:tcW w:w="2100" w:type="dxa"/>
            <w:vMerge/>
            <w:shd w:val="clear" w:color="FFFFFF" w:fill="auto"/>
            <w:vAlign w:val="bottom"/>
          </w:tcPr>
          <w:p w:rsidR="001A0B37" w:rsidRDefault="00F92D05">
            <w:pPr>
              <w:pStyle w:val="1CStyle34"/>
              <w:jc w:val="left"/>
            </w:pPr>
            <w:r>
              <w:t>Генеральный директор</w:t>
            </w:r>
          </w:p>
        </w:tc>
        <w:tc>
          <w:tcPr>
            <w:tcW w:w="1155" w:type="dxa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0B37" w:rsidRDefault="001A0B37"/>
        </w:tc>
        <w:tc>
          <w:tcPr>
            <w:tcW w:w="1995" w:type="dxa"/>
            <w:vMerge/>
            <w:shd w:val="clear" w:color="FFFFFF" w:fill="auto"/>
            <w:vAlign w:val="bottom"/>
          </w:tcPr>
          <w:p w:rsidR="001A0B37" w:rsidRDefault="00F92D05">
            <w:pPr>
              <w:pStyle w:val="1CStyle35"/>
              <w:jc w:val="left"/>
            </w:pPr>
            <w:r>
              <w:t>Кузнецов В.И.</w:t>
            </w:r>
          </w:p>
        </w:tc>
      </w:tr>
    </w:tbl>
    <w:p w:rsidR="00F92D05" w:rsidRDefault="00F92D05"/>
    <w:sectPr w:rsidR="00F9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B37"/>
    <w:rsid w:val="001A0B37"/>
    <w:rsid w:val="003E0F3A"/>
    <w:rsid w:val="00815A25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8">
    <w:name w:val="1CStyle28"/>
    <w:pPr>
      <w:jc w:val="center"/>
    </w:pPr>
    <w:rPr>
      <w:rFonts w:ascii="Arial" w:hAnsi="Arial"/>
      <w:b/>
      <w:sz w:val="18"/>
    </w:rPr>
  </w:style>
  <w:style w:type="paragraph" w:customStyle="1" w:styleId="1CStyle24">
    <w:name w:val="1CStyle24"/>
    <w:pPr>
      <w:jc w:val="center"/>
    </w:pPr>
    <w:rPr>
      <w:rFonts w:ascii="Arial" w:hAnsi="Arial"/>
      <w:b/>
      <w:sz w:val="18"/>
    </w:rPr>
  </w:style>
  <w:style w:type="paragraph" w:customStyle="1" w:styleId="1CStyle26">
    <w:name w:val="1CStyle26"/>
    <w:pPr>
      <w:jc w:val="center"/>
    </w:pPr>
    <w:rPr>
      <w:rFonts w:ascii="Arial" w:hAnsi="Arial"/>
      <w:b/>
      <w:sz w:val="18"/>
    </w:rPr>
  </w:style>
  <w:style w:type="paragraph" w:customStyle="1" w:styleId="1CStyle35">
    <w:name w:val="1CStyle35"/>
    <w:pPr>
      <w:jc w:val="center"/>
    </w:pPr>
    <w:rPr>
      <w:rFonts w:ascii="Arial" w:hAnsi="Arial"/>
      <w:sz w:val="18"/>
    </w:rPr>
  </w:style>
  <w:style w:type="paragraph" w:customStyle="1" w:styleId="1CStyle16">
    <w:name w:val="1CStyle16"/>
    <w:pPr>
      <w:jc w:val="center"/>
    </w:pPr>
    <w:rPr>
      <w:rFonts w:ascii="Arial" w:hAnsi="Arial"/>
      <w:b/>
      <w:sz w:val="18"/>
    </w:rPr>
  </w:style>
  <w:style w:type="paragraph" w:customStyle="1" w:styleId="1CStyle27">
    <w:name w:val="1CStyle27"/>
    <w:pPr>
      <w:jc w:val="center"/>
    </w:pPr>
  </w:style>
  <w:style w:type="paragraph" w:customStyle="1" w:styleId="1CStyle21">
    <w:name w:val="1CStyle21"/>
    <w:pPr>
      <w:jc w:val="center"/>
    </w:pPr>
    <w:rPr>
      <w:rFonts w:ascii="Arial" w:hAnsi="Arial"/>
      <w:b/>
      <w:sz w:val="18"/>
      <w:u w:val="single"/>
    </w:rPr>
  </w:style>
  <w:style w:type="paragraph" w:customStyle="1" w:styleId="1CStyle23">
    <w:name w:val="1CStyle23"/>
    <w:pPr>
      <w:jc w:val="center"/>
    </w:pPr>
  </w:style>
  <w:style w:type="paragraph" w:customStyle="1" w:styleId="1CStyle25">
    <w:name w:val="1CStyle25"/>
    <w:pPr>
      <w:jc w:val="center"/>
    </w:pPr>
  </w:style>
  <w:style w:type="paragraph" w:customStyle="1" w:styleId="1CStyle15">
    <w:name w:val="1CStyle15"/>
    <w:pPr>
      <w:jc w:val="center"/>
    </w:pPr>
    <w:rPr>
      <w:rFonts w:ascii="Arial" w:hAnsi="Arial"/>
      <w:sz w:val="18"/>
    </w:rPr>
  </w:style>
  <w:style w:type="paragraph" w:customStyle="1" w:styleId="1CStyle6">
    <w:name w:val="1CStyle6"/>
    <w:pPr>
      <w:jc w:val="center"/>
    </w:pPr>
    <w:rPr>
      <w:rFonts w:ascii="Arial" w:hAnsi="Arial"/>
      <w:b/>
      <w:sz w:val="18"/>
    </w:rPr>
  </w:style>
  <w:style w:type="paragraph" w:customStyle="1" w:styleId="1CStyle30">
    <w:name w:val="1CStyle30"/>
    <w:pPr>
      <w:jc w:val="center"/>
    </w:pPr>
    <w:rPr>
      <w:rFonts w:ascii="Arial" w:hAnsi="Arial"/>
      <w:b/>
      <w:sz w:val="18"/>
    </w:rPr>
  </w:style>
  <w:style w:type="paragraph" w:customStyle="1" w:styleId="1CStyle18">
    <w:name w:val="1CStyle18"/>
    <w:pPr>
      <w:jc w:val="center"/>
    </w:pPr>
  </w:style>
  <w:style w:type="paragraph" w:customStyle="1" w:styleId="1CStyle2">
    <w:name w:val="1CStyle2"/>
    <w:pPr>
      <w:jc w:val="center"/>
    </w:pPr>
  </w:style>
  <w:style w:type="paragraph" w:customStyle="1" w:styleId="1CStyle31">
    <w:name w:val="1CStyle31"/>
    <w:pPr>
      <w:jc w:val="center"/>
    </w:pPr>
  </w:style>
  <w:style w:type="paragraph" w:customStyle="1" w:styleId="1CStyle29">
    <w:name w:val="1CStyle29"/>
    <w:pPr>
      <w:jc w:val="center"/>
    </w:pPr>
    <w:rPr>
      <w:rFonts w:ascii="Arial" w:hAnsi="Arial"/>
      <w:b/>
      <w:sz w:val="18"/>
    </w:rPr>
  </w:style>
  <w:style w:type="paragraph" w:customStyle="1" w:styleId="1CStyle33">
    <w:name w:val="1CStyle33"/>
    <w:pPr>
      <w:jc w:val="center"/>
    </w:pPr>
    <w:rPr>
      <w:rFonts w:ascii="Arial" w:hAnsi="Arial"/>
      <w:sz w:val="18"/>
    </w:rPr>
  </w:style>
  <w:style w:type="paragraph" w:customStyle="1" w:styleId="1CStyle14">
    <w:name w:val="1CStyle14"/>
    <w:pPr>
      <w:jc w:val="center"/>
    </w:pPr>
    <w:rPr>
      <w:rFonts w:ascii="Arial" w:hAnsi="Arial"/>
      <w:b/>
      <w:sz w:val="18"/>
    </w:rPr>
  </w:style>
  <w:style w:type="paragraph" w:customStyle="1" w:styleId="1CStyle34">
    <w:name w:val="1CStyle34"/>
    <w:pPr>
      <w:jc w:val="center"/>
    </w:pPr>
    <w:rPr>
      <w:rFonts w:ascii="Arial" w:hAnsi="Arial"/>
      <w:sz w:val="18"/>
    </w:rPr>
  </w:style>
  <w:style w:type="paragraph" w:customStyle="1" w:styleId="1CStyle17">
    <w:name w:val="1CStyle17"/>
    <w:pPr>
      <w:jc w:val="center"/>
    </w:pPr>
    <w:rPr>
      <w:rFonts w:ascii="Arial" w:hAnsi="Arial"/>
      <w:i/>
      <w:sz w:val="18"/>
    </w:rPr>
  </w:style>
  <w:style w:type="paragraph" w:customStyle="1" w:styleId="1CStyle22">
    <w:name w:val="1CStyle22"/>
    <w:pPr>
      <w:jc w:val="center"/>
    </w:pPr>
    <w:rPr>
      <w:rFonts w:ascii="Arial" w:hAnsi="Arial"/>
      <w:b/>
      <w:sz w:val="18"/>
    </w:rPr>
  </w:style>
  <w:style w:type="paragraph" w:customStyle="1" w:styleId="1CStyle32">
    <w:name w:val="1CStyle32"/>
    <w:pPr>
      <w:jc w:val="center"/>
    </w:pPr>
    <w:rPr>
      <w:rFonts w:ascii="Arial" w:hAnsi="Arial"/>
      <w:sz w:val="18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18"/>
    </w:rPr>
  </w:style>
  <w:style w:type="paragraph" w:customStyle="1" w:styleId="1CStyle20">
    <w:name w:val="1CStyle20"/>
    <w:pPr>
      <w:jc w:val="center"/>
    </w:pPr>
    <w:rPr>
      <w:rFonts w:ascii="Arial" w:hAnsi="Arial"/>
      <w:sz w:val="18"/>
    </w:r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  <w:rPr>
      <w:rFonts w:ascii="Arial" w:hAnsi="Arial"/>
      <w:i/>
      <w:sz w:val="18"/>
    </w:rPr>
  </w:style>
  <w:style w:type="paragraph" w:customStyle="1" w:styleId="1CStyle10">
    <w:name w:val="1CStyle10"/>
    <w:pPr>
      <w:jc w:val="center"/>
    </w:pPr>
    <w:rPr>
      <w:rFonts w:ascii="Arial" w:hAnsi="Arial"/>
      <w:sz w:val="18"/>
    </w:rPr>
  </w:style>
  <w:style w:type="paragraph" w:customStyle="1" w:styleId="1CStyle13">
    <w:name w:val="1CStyle13"/>
    <w:pPr>
      <w:jc w:val="center"/>
    </w:pPr>
    <w:rPr>
      <w:rFonts w:ascii="Arial" w:hAnsi="Arial"/>
      <w:b/>
      <w:sz w:val="20"/>
      <w:u w:val="single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  <w:rPr>
      <w:rFonts w:ascii="Arial" w:hAnsi="Arial"/>
      <w:sz w:val="18"/>
    </w:rPr>
  </w:style>
  <w:style w:type="paragraph" w:customStyle="1" w:styleId="1CStyle1">
    <w:name w:val="1CStyle1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pPr>
      <w:jc w:val="both"/>
    </w:pPr>
    <w:rPr>
      <w:rFonts w:ascii="Arial" w:hAnsi="Arial"/>
      <w:sz w:val="18"/>
    </w:rPr>
  </w:style>
  <w:style w:type="paragraph" w:customStyle="1" w:styleId="1CStyle0">
    <w:name w:val="1CStyle0"/>
    <w:pPr>
      <w:jc w:val="center"/>
    </w:pPr>
  </w:style>
  <w:style w:type="paragraph" w:customStyle="1" w:styleId="1CStyle8">
    <w:name w:val="1CStyle8"/>
    <w:pPr>
      <w:jc w:val="both"/>
    </w:pPr>
    <w:rPr>
      <w:rFonts w:ascii="Arial" w:hAnsi="Arial"/>
      <w:sz w:val="18"/>
    </w:rPr>
  </w:style>
  <w:style w:type="paragraph" w:customStyle="1" w:styleId="1CStyle11">
    <w:name w:val="1CStyle11"/>
    <w:pPr>
      <w:ind w:left="20"/>
      <w:jc w:val="right"/>
    </w:pPr>
    <w:rPr>
      <w:rFonts w:ascii="Arial" w:hAnsi="Arial"/>
      <w:sz w:val="18"/>
    </w:rPr>
  </w:style>
  <w:style w:type="paragraph" w:customStyle="1" w:styleId="1CStyle12">
    <w:name w:val="1CStyle12"/>
    <w:pPr>
      <w:ind w:left="20"/>
      <w:jc w:val="right"/>
    </w:pPr>
    <w:rPr>
      <w:rFonts w:ascii="Arial" w:hAnsi="Arial"/>
      <w:sz w:val="18"/>
    </w:rPr>
  </w:style>
  <w:style w:type="paragraph" w:customStyle="1" w:styleId="1CStyle5">
    <w:name w:val="1CStyle5"/>
    <w:pPr>
      <w:jc w:val="both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2017-11-10T08:10:00Z</dcterms:created>
  <dcterms:modified xsi:type="dcterms:W3CDTF">2019-02-07T08:19:00Z</dcterms:modified>
</cp:coreProperties>
</file>